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with rollover budget from prior year to maintain all programs and staffing levels. The rollover budget includes contract obligation changes and any other known increases/decreases at the time of rollover. The next phase is the Business Manager and Superintendent discuss the budget process with the building principals and other administrators. Current and need based programs are discussed and other needs of the district are discussed. Based on these discussion the Business Manager and Superintendent begin the process of making the necessary changes. In the meantime the business manager meets with each department coordinator and department supervisors to discuss the budget process and review the timeline for budget development. Each department supervisor (transportation, building and grounds) develops budget based on historical data and projections. The building budgets are developed by all teachers for their materials and supplies, equipment and any other budget needs. The individual teachers budgets are reviewed by their coordinators and then submitted to the building principals for approval. The business manager will review request with superintendent and principals to verify its meets the district goals and educational process of the district. Since only two buildings in district K-6 and 7-12 the district is able to provide a range of programs to all students in each grade level including special need students. The business manager will then make necessary changes to the other areas of the budget as they become known such as benefits and general insurance. The business manager will do a 5 year historical average of each line item in the budget and adjust budget accordingly based on the historical data and projections. During the whole budget process budget development workshops are held at the beginning of designated board meetings to allow public and BOE input. State aid revenue and tax levy are also discussed during these meetings. Fund balance is review with BOE to determine the allowable tax levy and the use of fund balance to balance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one Elementary School and one Jr./Sr.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