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Business Administrator. Principals, working with Department Heads, the CSE chairperson, and Director of Student Support Services conduct needs assessments for their students and budget accordingly. The bedrock for this needs assessment is the district's Strategic Plan which already has collaboratively established district goals and targets based on identified student needs. This process formally starts in October and lasts through the initial budget presentations in February.  The building principals represent the needs of individual buildings and work with their department heads to formulate their budgeting needs by building. The Directors of Athletics, Transportation, Buildings and Grounds, and CSE all submit budgets for Superintendent/Business Administrator Review. The board through the Audit and Finance Committee monitors the budget development process to ensure that budget requests are in line with the district's Strategic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