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for both the general fund and the ESSA grants are led by the central office business staff, primarily by the Treasurer, the Superintendent and Coordinator of Federal Funds. The needs of the students are translated into the budget through a collaborative approach with the school administration (Principal, Department Heads and Committee Chairs). These budget development conversations begin in December and follows the budget calendar timeline. The school board members are made aware of  program requests and budget needs, and public input is solicited at board meetings. The district aligns its process with an approved budget calendar that concludes with the public vote on the budget and the creation of the annual Title I School -Wide plan.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Kiryas Joel Union Free School District is comprised of one (1) Public School building that services classified students of special education. The school provides supplemental services through Title I funding.  There is no formula or approach used to allocate funds to “each school” as there are no other schools.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