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Schools are allocated funds with several approaches. Building leadership are allocated funds specific to their budgeting discretion based on total student enrollment multiplied by a flat dollar amount. These flat dollar amounts are consistent for all elementary buildings and are greater for middle and high school level buildings. There is also a flat $10,000 discretion amount that is distributed to each building principal. For staffing purposes, student needs, special education placements, and cost/benefit between staffing for programming vs outside and/or BOCES placements are considered. The majority of funding allocation is driven by student need and population demands. Special education classroom and academic support services typically generate a greater need for funding and additional dollars are driven towards those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