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for the district is led by the school business official (Roxanne Miller/Richard Hartwell) and the superintendent (James Froio).  The Board of Education reviews the complete budget allocations, asks questions, approves, and sets the budget for final voter approval.  The needs of the students are always placed above all others when budget development and allocation is determined.  The director for special education is consulted relative to the needs of our students with disabilities.  Building principals provide estimated proposals for budgets relative to their building programs including instructional, extra-curricular, and athletic needs.  The school business official tracks the school budget development early in the preceding school year.  In November, the business official begins estimating revenues and expected appropriation needs for the following school year.  Using nVision and Forecast 5, Roxanne Miller/Richard Hartwell create a preliminary budget for the superintendent to review in December and January.  Formal budget review takes place in February through April with the Board of Education voting for final approval for the public in late April.  Voters determine approval/disapproval in May.  District employees involved in the budget development process include those individuals above:  superintendent, business official, building principals, board of education members, director for special education (Colleen Frawley), human resources personnel aid (Amy Lewis), technology director (Steve Mendrek), transportation director (Diane Miano), and the buildings/grounds superintendent (Vinny Smith).  We worked hard last year to separate out salaries and other building costs, such as supplies, individually by building.  We partnered with Forecast 5 to assist with transparency reporting.  Our district does not utilize a specific formula for weighting appropriation per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