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executive team of the district met with all budget makers from November through May to define their needs for the 2020-2021 school year both in regards to staffing and non-staffing areas. From these meetings, the budget is built to accommodate these identified needs to the extent possible within the constraints of available revenue sources. Each school and department makes a presentation to the board of education from October through March so that there is transparency among all stakeholders. There are many public meetings once the budget has been adopted by the board of education both with PTAs and community groups. The only truly formulaic process used is for the categories of NY State materials aids (textbooks, library book, hardware, and software) which is based on the state per-pupil amount multiplied by the projected enrollment for each school.  These materials aids are a very small and insignificant portion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recognizes that two of our eight elementary schools appear to have excess funding above the district average. However, these two schools have the district’s highest free and reduced-price lunch percentages by far, as well as high counts of students with disabilities. In keeping with the district’s vision to strive to engage all students in the importance and relevance of thinking; to educate every learner to communicate, comprehend, and collaborate for understanding; and to empower all in the ICSD to achieve academic excellence, these additional resources at our most vulnerable schools is warranted.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