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operates one building per grade level giving all students in the district access to the same resources. The budget is formulated based on enrollment and the  related staffing and curriculum needs of the specific grade span for that building. There is no specific formula for allocating the funds.Staffing, the largest portion of the budget is projected based on anticipated enrollment with the goal of maintaining reasonable class sizes. All other budget requests are reviewed on a building by building basis with the goal of insuring the students have the items and services necessary to maintain programs and to adhere to current curriculum standards and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