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building principals, director of student programs and athletic director begin to develop their building/program budget needs for the following year in November.  While no formula is used for distributing funds district wide, the district analyzes the final budget for equity annually. Building and program leaders, work with their instructional and support staff to develop building level needs for the student programs at their buildings, for the following year. These needs and requests are reviewed by the board of education in December and January.  The district develops a tentative budget for the following year in January and February.  The budget is reviewed at public meetings in February, March and April, where public comment and input is sought.  The district discusses the budget staffing implications with bargaining units in January and April.  A budget hearing is conducted for the public, where a line by line appropriations for the following years budget is available to all to review and comment prior to vote, generally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the district is composed of only having one elementary and one high school, the primary driver of differences in per pupil spending is driven differences between elementary and high school needs.   That said, the district spends approximately $14,700 on high school students and $14,100 elementary students which is only marginally more, about 4%.</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