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which begins in December and ends when the budget is adopted by the Board of Education, usually in April.  The Assistant Superintendent for Business coordinates budget workshop meetings with all applicable stakeholders, including but not limited to:  the Board of Education, the Superintendent of Schools, the Elementary School Principal, the Middle School Principal, the Assistant Superintendent for Building &amp; Grounds, the Assistant Superintendent for Curriculum, the Director of Student Services, the Transportation Supervisor, the Athletic Director, and the Food Service Director.  Stakeholders prepare a list of budgetary requests and prioritize them based on the needs of the students and faculty.  This is a collaborative effort among all stakeholders for both the Elementary and Middle School and one individual is not solely responsible for ensuring an individual school secures necessary resources.  The district does not use a formula to allocate funds to individual schools; all budgetary allocations are based upon the quantitative analysis completed during budget workshops and consultation with parties listed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does not have a High School.  Therefore, the District enters in to contracts with surrounding High Schools, Chester UFSD and Warwick Valley CSD, to send our High School age students, grades 9-12 at predetermined tuition Rate plus increases per referenced contract.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