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building need is the primary driver for allocation of funds between grade levels. The needs of the students, the demographic and educational challenges of certain cohorts are the focus when building the budget to best meet these needs. The oversight of the Superintendent and administrative leadership, along with recommendations of counseling and curriculum development staff are all taken into account. We have no specific methodology as these needs could change from year to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students with disabilities population potentially changes the allocation levels among buildings, and the necessary resources associated with their success. This could change depending on cohorts as enrollment is fluid.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 not identify any anomaly's that require additional information.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