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Fairport Central School District allocates funds to schools based on the enrollment and staffing levels at each building according to the needs of the students and programs.  Supplies, contractual, and textbook budget dollars are allocated based on a per pupil basis.  In Part A, line 16 Other School Districts (Excl. Special Act Districts), the District budgets to pay for tutoring services to incarcerated youth provided by other district to Fairport students.  While multiple students are serviced,  the per pupil count is allocated on an FTE basis of $15,000 per pupil for a total of 5 FTE pupils.  Principals receive supply and material budget requests from teachers in November/December and then those amounts are submitted to the district office for review in December/January.  The building budget begins with the previous year’s allocation and then is increased/decreased depending on the number of students.  This incremental budget approach sets the base budget for each school.  Student’s needs such as LEP, poverty and the number of students with disabilities are factored into overall allocations throughout the budget development process.  Class sizes, federal funding allocations and specific building needs are also considered.  Principals may submit a narrative justifying any dollar increases based on these categories.  Per student quota amounts are established for supplies, materials, computer software, library books, and textbooks.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Brooks Hill Elementary is the elementary school that services the majority of the elementary ELL students.  Minerva DeLand is a building dedicated for 9th grade students with similar programs and services to that of the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