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with input from the Superintendent, Director of Special Education and Building Principal.  Salary and Fringe estimates are made in October with requests from each of our employees for supplies and equipment needed to run their classroom/department in November/December timeframe.  The Business Manager presents a draft budget to the Board of Education in January for discussion and adjustments based on student enrollment and individual student needs.  The Board of Education approves the budget looking at both staffing and level of spending and set the tax levy limit.  We are a Pre-K through 12 building so we do not use any formula for weighting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