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and the Assistant Superintendent for Business.  The process begins in December and goes until budget adoption in April.  Student needs are communicated through the building and district-wide administrators' assessments of students throughout the year.  All district administrators are involved in the budget process.  Multiple meetings are help to discuss and prioritize funding requests.  The Board of Education's role is to provide overall priorities and financial guidelines.  Each building principal represents the needs of their respective building.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two schools with grades 2-5.  The Anne Hutchinson School houses all of the district-wide self-contained special education classes for those grades.  Therefore, special education costs and staffing at the Anne Hutchinson School will vary greatly from the special education costs and staffing at the Greenvale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