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Finance &amp; Operations with the assistance of the District Treasurer. The process begins in the fall and goes straight through until the spring. Each building/department head receives their respective budget development worksheets and updates it accordingly with the needs and wants to support student’s education. Subsequently, meetings are scheduled with the Assistant Superintendent, District Treasurer and appropriate personnel to discuss and review their budget. The District holds numerous budget public work sessions with the Board of Education to discuss the budget during the development process up until the budget hearing and budget vote. The District uses a per student allocation for building budgets.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Rhame Avenue – Special Education Students
</w:t>
      </w:r>
    </w:p>
    <w:p>
      <w:pPr>
        <w:ind w:left="720"/>
      </w:pPr>
      <w:r>
        <w:rPr>
          <w:rFonts w:ascii="Garamond" w:hAnsi="Garamond"/>
        </w:rPr>
        <w:t>
</w:t>
      </w:r>
    </w:p>
    <w:p>
      <w:pPr>
        <w:ind w:left="720"/>
      </w:pPr>
      <w:r>
        <w:rPr>
          <w:rFonts w:ascii="Garamond" w:hAnsi="Garamond"/>
        </w:rPr>
        <w:t>Centre Avenue – ENL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