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makes budgetary decisions based on the needs of the students, staff and buildings. The administrators  incorporate the long-range strategic plan, the multi-year financial and facilities plans, the Special Education Plan, the Technology Plan and the Guidance Plan into the budget. The School Board recognizes the importance of appropriate class sizes in maintaining excellence in education. Through negotiations, the District has a guideline for class size for K-12. While preparing the budget, we use the projected enrollment per grade and per school to staff each school. Working together with the building administrators, we determine the classroom sections for each school, and the per pupil cost for each level; elementary schools, middle schools, and the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ven Bridges Middle School has less students than Bell Middle School, but due to the District's commitment to the team structure at the middle schools, the per pupil cost is higher at Seven Bridg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