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of Schools and the School Business Administrator.  Student needs are translated into the budget through the administrative teams review of student data.   The development process begins in November and last until the budget and close of the fiscal year.   The district administrators and building level administrators are involved in the budget process.    The Board of Education is presented with the budget development information and are given the opportunity through budget workshops to provide expectations for the focus within the budget.    The building principals and teachers represent the needs of each school.   No formula methodology is utilized to allocated funds between the Elementary School and Jr./ Sr.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a small school district with one campus.   The campus has one elementary school and one Jr./ Sr. High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