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In person budget meetings with department leaders, building principals, administrators, and others as needed. During this process, previous year expenditures are discussed including normal and out of the ordinary expenditures. Upcoming year anticipated expenditures are then discussed, both normal and potential needs for the year. Collectively, these operating expenditures are discussed. Large discrepancies in spending between buildings and departments are also discussed at this stage as well as anticipated staff needs, retirements, replacements, or the decision to not fill positions that are no longer necessary for the growth of the district. B. The district business official and superintendent collectively meet with the following stakeholders: building leadings, directors/department heads (transportation, food service, technology, buildings and grounds), committee groups such as the district leadership team, and the audit committee which consists of School Board members. The budget development process is also updated publicly at each Board meeting starting in December throughout the winter until a balanced budget with stakeholder input is present to the Board for adoption to present to the public. 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