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makes decisions regarding the allocation of resources based on the needs of its students, staff and buildings.  Annually the District engages in updating its multi-year long-range plan, which is a valuable tool used to provide insight for the board of education to make critical long-term decision, in order to ensure fiscal stability to protect, preserve, and enhance the integrity of the instructional program for students, development of higher performing staff and maintain the district's assets and infrastructure. These projections guide the District in determining the resource allocation necessary to support students in each building based on their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primary difference in the District's per pupil allocation is related to the number of students with disabilities that are served in each of the buildings, and the type of classes and services provided.  Two of the elementary schools serve a greater population of students in both self contained classrooms with a staffing ratio of 8:1:2, and integrated co-teach classrooms.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