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Resources are distributed based on school enrollment, which determines staffing, equipment, and supply needs, using the Board of Education approved class size guidelines and per pupil allocations.  In addition, Building level administrators and department directors are required to meet with central administration to review and justify all budget allocations and any additional requests to insure equitable distribution of funds among all schoo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s grade levels progress from elementary to secondary the per pupil cost allocation slightly increa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