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created unique account codes for each school for the 2019-2020 budget. All expenses associated with an individual school have been identified and budgeted to each school. 
</w:t>
      </w:r>
    </w:p>
    <w:p>
      <w:pPr>
        <w:ind w:left="720"/>
      </w:pPr>
      <w:r>
        <w:rPr>
          <w:rFonts w:ascii="Garamond" w:hAnsi="Garamond"/>
        </w:rPr>
        <w:t>Employees are assigned to a school and the payroll expense is budgeted in the individual school account code. Employees working in multiple schools are allocated by the percentage of time spent in each school.
</w:t>
      </w:r>
    </w:p>
    <w:p>
      <w:pPr>
        <w:ind w:left="720"/>
      </w:pPr>
      <w:r>
        <w:rPr>
          <w:rFonts w:ascii="Garamond" w:hAnsi="Garamond"/>
        </w:rPr>
        <w:t>Materials, supplies, textbook and library books have been budgeted using a per student dollar amount multiplied by the number of students in each building.
</w:t>
      </w:r>
    </w:p>
    <w:p>
      <w:pPr>
        <w:ind w:left="720"/>
      </w:pPr>
      <w:r>
        <w:rPr>
          <w:rFonts w:ascii="Garamond" w:hAnsi="Garamond"/>
        </w:rPr>
        <w:t>Other school expenses are identified by school and budgeted to it’s respective account code.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