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Building budgets are developed using current program and enrollment data as well as student success rates.  Additional costs are considered on an annual basis to address program enhancements as well as any weaknesses, if identified.    Negotiated increases for building staff as well as general and instructional supply allocations for each staff member are also a consideration in individual building budgets. The district has established a District-wide supply and equipment line to support one time building/program needs/improvements.  The district budgets in a manner to protect unanticipated enrollment and staffing changes mid-year and utilizes any yearend excess fund balance to secure reserves for the future financial stability of the district.   We work to offset increases within the budget with reductions in other areas to stay within the allowable tax levy limit calculation.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Form A-III-B13 includes contingency salary.   This line includes 3.0 FTE Staff and what would equate to an estimated 13 additional positions.   It is normal practice for our district to maintain a contingency to protect us from mid-year staff increases.   However, in 19/20 this number is inflated to what we would normally place in contingency.   This is due to the fact that we were in the negotiation process with our Faculty and at the time of budgeting we were moving in the direction of a larger increase in 19/20 to offset some negotiated items.   They instead leveled the increase over 3 years which will leave this larger unused balance.   I did not want to skew the building level calculations by distributing these funds to each individual building.</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